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A654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晋升管理制度</w:t>
      </w:r>
    </w:p>
    <w:p w14:paraId="49488CC5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赋能员工成长，畅通职业发展通道</w:t>
      </w:r>
    </w:p>
    <w:p w14:paraId="45857449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41049153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制度目标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本制度旨在为员工规划清晰、公正的职业发展路径，将员工的个人成长与公司的战略需求紧密结合。通过建立与职级体系相统一的晋升机制，引导员工持续提升专业能力和综合素养。</w:t>
      </w:r>
    </w:p>
    <w:p w14:paraId="3D3FA7F3">
      <w:pPr>
        <w:pStyle w:val="3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Chars="0" w:right="0" w:right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379D82B4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二、核心晋升原则</w:t>
      </w:r>
      <w:bookmarkStart w:id="0" w:name="_GoBack"/>
      <w:bookmarkEnd w:id="0"/>
    </w:p>
    <w:p w14:paraId="110E61E9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公平、公正、公开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：晋升的评定标准、程序和结果全流程透明。</w:t>
      </w:r>
    </w:p>
    <w:p w14:paraId="1141AF65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德才兼备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：晋升不仅考察专业能力和业绩，同时评估个人品德与对公司价值观的践行。</w:t>
      </w:r>
    </w:p>
    <w:p w14:paraId="6B28F624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逐级晋升与动态调整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：原则上遵循逐级晋升，同时建立“能上能下”机制。对在任现职期间知识、技能或业绩显著下降、不再符合岗位要求的员工，可进行降级聘任，确保人岗匹配的动态优化。</w:t>
      </w:r>
    </w:p>
    <w:p w14:paraId="3260B515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内部优先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：出现职位空缺时，公司首先考虑内部优秀人才的培养与晋升。</w:t>
      </w:r>
    </w:p>
    <w:p w14:paraId="09BCA30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-36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354AA71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三、双通道职业发展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公司为员工提供纵向与横向相结合的发展路径：</w:t>
      </w:r>
    </w:p>
    <w:p w14:paraId="48A86ECD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纵向发展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：在本专业序列内，从初级到资深专家或管理岗位的职级晋升。</w:t>
      </w:r>
    </w:p>
    <w:p w14:paraId="2B2D9C15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横向发展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：支持员工根据个人意愿与能力，通过内部调配或招聘，实现跨序列、跨领域的岗位拓展，丰富职业生涯。</w:t>
      </w:r>
    </w:p>
    <w:p w14:paraId="7E84D7E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-360" w:lef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C48BA28">
      <w:pPr>
        <w:pStyle w:val="30"/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晋升管理程序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晋升工作由人力资源部统筹组织。</w:t>
      </w:r>
    </w:p>
    <w:p w14:paraId="5820E1E7">
      <w:pPr>
        <w:pStyle w:val="3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Chars="0" w:right="0" w:right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基本程序包括：部门提名 → 述职与能力评议 → 资格审查（含绩效、资历、纪律等）→ 管理层审批 → 结果公示与薪酬调整。</w:t>
      </w:r>
    </w:p>
    <w:p w14:paraId="4D56A9BC">
      <w:pPr>
        <w:pStyle w:val="3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30" w:afterAutospacing="0" w:line="460" w:lineRule="exact"/>
        <w:ind w:leftChars="0" w:right="0" w:right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52355D9">
      <w:pPr>
        <w:spacing w:after="0"/>
        <w:rPr>
          <w:rFonts w:hint="eastAsia" w:ascii="宋体" w:hAnsi="宋体" w:eastAsia="宋体" w:cs="宋体"/>
        </w:rPr>
      </w:pPr>
    </w:p>
    <w:sectPr>
      <w:headerReference r:id="rId5" w:type="default"/>
      <w:footerReference r:id="rId6" w:type="default"/>
      <w:pgSz w:w="12240" w:h="15840"/>
      <w:pgMar w:top="1531" w:right="1134" w:bottom="1417" w:left="1134" w:header="255" w:footer="255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玄三M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玄三M W05">
    <w:panose1 w:val="02020400000000000000"/>
    <w:charset w:val="80"/>
    <w:family w:val="auto"/>
    <w:pitch w:val="default"/>
    <w:sig w:usb0="800002BF" w:usb1="184D64F8" w:usb2="00000012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5162A">
    <w:pPr>
      <w:pStyle w:val="24"/>
      <w:spacing w:before="0" w:after="0"/>
    </w:pPr>
  </w:p>
  <w:tbl>
    <w:tblPr>
      <w:tblStyle w:val="33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8277"/>
      <w:gridCol w:w="1361"/>
    </w:tblGrid>
    <w:tr w14:paraId="33920FA8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638" w:type="dxa"/>
          <w:gridSpan w:val="2"/>
          <w:tcBorders>
            <w:top w:val="single" w:color="F39A00" w:sz="14" w:space="0"/>
          </w:tcBorders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05ABFF7"/>
      </w:tc>
    </w:tr>
    <w:tr w14:paraId="504FAFF4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4819" w:type="dxa"/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2B5C232">
          <w:pPr>
            <w:spacing w:before="80" w:after="0"/>
            <w:jc w:val="left"/>
          </w:pPr>
          <w:r>
            <w:drawing>
              <wp:inline distT="0" distB="0" distL="114300" distR="114300">
                <wp:extent cx="4319905" cy="362585"/>
                <wp:effectExtent l="0" t="0" r="4445" b="18415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0000" cy="363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5EBB809">
          <w:pPr>
            <w:spacing w:before="40" w:after="0"/>
            <w:jc w:val="right"/>
          </w:pPr>
          <w:r>
            <w:rPr>
              <w:rFonts w:ascii="Aptos" w:hAnsi="Aptos"/>
              <w:b w:val="0"/>
              <w:color w:val="F39A00"/>
              <w:sz w:val="26"/>
            </w:rPr>
            <w:t>0</w:t>
          </w:r>
          <w:r>
            <w:rPr>
              <w:rFonts w:ascii="Aptos" w:hAnsi="Aptos"/>
            </w:rPr>
            <w:fldChar w:fldCharType="begin"/>
          </w:r>
          <w:r>
            <w:rPr>
              <w:rFonts w:ascii="Aptos" w:hAnsi="Aptos"/>
            </w:rPr>
            <w:instrText xml:space="preserve"> PAGE </w:instrText>
          </w:r>
          <w:r>
            <w:rPr>
              <w:rFonts w:ascii="Aptos" w:hAnsi="Aptos"/>
            </w:rPr>
            <w:fldChar w:fldCharType="end"/>
          </w:r>
          <w:r>
            <w:rPr>
              <w:color w:val="666666"/>
              <w:sz w:val="16"/>
            </w:rPr>
            <w:br w:type="textWrapping"/>
          </w:r>
          <w:r>
            <w:rPr>
              <w:color w:val="666666"/>
              <w:sz w:val="16"/>
            </w:rP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end"/>
          </w:r>
        </w:p>
      </w:tc>
    </w:tr>
  </w:tbl>
  <w:p w14:paraId="53030E7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22873">
    <w:pPr>
      <w:pStyle w:val="25"/>
      <w:spacing w:before="0" w:after="0" w:line="240" w:lineRule="auto"/>
    </w:pPr>
  </w:p>
  <w:tbl>
    <w:tblPr>
      <w:tblStyle w:val="33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742"/>
      <w:gridCol w:w="5896"/>
    </w:tblGrid>
    <w:tr w14:paraId="4A992C55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481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5C17395">
          <w:pPr>
            <w:spacing w:after="0"/>
            <w:jc w:val="left"/>
          </w:pPr>
          <w:r>
            <w:drawing>
              <wp:inline distT="0" distB="0" distL="114300" distR="114300">
                <wp:extent cx="1943735" cy="324485"/>
                <wp:effectExtent l="0" t="0" r="0" b="1841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3246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bottom w:val="single" w:color="F39A00" w:sz="36" w:space="0"/>
          </w:tcBorders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07050BE">
          <w:pPr>
            <w:spacing w:after="0"/>
            <w:jc w:val="right"/>
          </w:pPr>
        </w:p>
      </w:tc>
    </w:tr>
    <w:tr w14:paraId="6B1F9486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638" w:type="dxa"/>
          <w:gridSpan w:val="2"/>
          <w:tcBorders>
            <w:bottom w:val="single" w:color="F39A00" w:sz="14" w:space="0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C11C18">
          <w:pPr>
            <w:spacing w:after="0"/>
          </w:pPr>
        </w:p>
      </w:tc>
    </w:tr>
  </w:tbl>
  <w:p w14:paraId="17E1F1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CA9EEA"/>
    <w:multiLevelType w:val="singleLevel"/>
    <w:tmpl w:val="87CA9EE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986620A"/>
    <w:multiLevelType w:val="singleLevel"/>
    <w:tmpl w:val="B986620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5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6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8">
    <w:nsid w:val="5BF1E077"/>
    <w:multiLevelType w:val="singleLevel"/>
    <w:tmpl w:val="5BF1E07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D474E1"/>
    <w:rsid w:val="419F611D"/>
    <w:rsid w:val="4798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ptos" w:hAnsi="Aptos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rPr>
      <w:sz w:val="24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675</Words>
  <Characters>675</Characters>
  <Lines>0</Lines>
  <Paragraphs>0</Paragraphs>
  <TotalTime>0</TotalTime>
  <ScaleCrop>false</ScaleCrop>
  <LinksUpToDate>false</LinksUpToDate>
  <CharactersWithSpaces>676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江陵门生</cp:lastModifiedBy>
  <dcterms:modified xsi:type="dcterms:W3CDTF">2026-08-07T06:26:16Z</dcterms:modified>
  <dc:subject>INNOVAX 万泰疫苗企业Word模板</dc:subject>
  <dc:title>万泰疫苗企业版头版尾模板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eyJoZGlkIjoiYWQ2NTg1NDA3YmQ0NGNjYzNiNDA1Yjc4MTgzMmJkNzciLCJ1c2VySWQiOiIxMjM1NTU0MTgwIn0=</vt:lpwstr>
  </property>
  <property fmtid="{D5CDD505-2E9C-101B-9397-08002B2CF9AE}" pid="3" name="KSOProductBuildVer">
    <vt:lpwstr>2052-12.1.0.28043</vt:lpwstr>
  </property>
  <property fmtid="{D5CDD505-2E9C-101B-9397-08002B2CF9AE}" pid="4" name="ICV">
    <vt:lpwstr>C9F760BC83DD42AC8E16175EF9482A15_12</vt:lpwstr>
  </property>
</Properties>
</file>